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70" w:rsidRPr="00A22C70" w:rsidRDefault="00A22C70" w:rsidP="00A22C70">
      <w:pPr>
        <w:jc w:val="right"/>
        <w:rPr>
          <w:rFonts w:ascii="Times New Roman" w:hAnsi="Times New Roman" w:cs="Times New Roman"/>
          <w:b/>
          <w:i/>
          <w:iCs/>
        </w:rPr>
      </w:pPr>
      <w:r w:rsidRPr="006A5AEF">
        <w:rPr>
          <w:rFonts w:ascii="Times New Roman" w:hAnsi="Times New Roman" w:cs="Times New Roman"/>
          <w:b/>
        </w:rPr>
        <w:t xml:space="preserve">Návrh </w:t>
      </w: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i/>
          <w:iCs/>
        </w:rPr>
        <w:t>Príloha č.</w:t>
      </w:r>
      <w:r w:rsidR="00901474">
        <w:rPr>
          <w:rFonts w:ascii="Times New Roman" w:hAnsi="Times New Roman" w:cs="Times New Roman"/>
          <w:b/>
          <w:i/>
          <w:iCs/>
        </w:rPr>
        <w:t>4</w:t>
      </w:r>
    </w:p>
    <w:p w:rsidR="00A22C70" w:rsidRPr="006A5AEF" w:rsidRDefault="00A22C70" w:rsidP="00A22C70">
      <w:pPr>
        <w:jc w:val="center"/>
        <w:rPr>
          <w:rFonts w:ascii="Times New Roman" w:hAnsi="Times New Roman" w:cs="Times New Roman"/>
          <w:b/>
        </w:rPr>
      </w:pPr>
      <w:r w:rsidRPr="006A5AEF">
        <w:rPr>
          <w:rFonts w:ascii="Times New Roman" w:hAnsi="Times New Roman" w:cs="Times New Roman"/>
          <w:b/>
        </w:rPr>
        <w:t>ZMLUVA O</w:t>
      </w:r>
      <w:r>
        <w:rPr>
          <w:rFonts w:ascii="Times New Roman" w:hAnsi="Times New Roman" w:cs="Times New Roman"/>
          <w:b/>
        </w:rPr>
        <w:t> </w:t>
      </w:r>
      <w:r w:rsidRPr="006A5AEF">
        <w:rPr>
          <w:rFonts w:ascii="Times New Roman" w:hAnsi="Times New Roman" w:cs="Times New Roman"/>
          <w:b/>
        </w:rPr>
        <w:t>DIELO</w:t>
      </w:r>
      <w:r>
        <w:rPr>
          <w:rFonts w:ascii="Times New Roman" w:hAnsi="Times New Roman" w:cs="Times New Roman"/>
          <w:b/>
        </w:rPr>
        <w:t xml:space="preserve"> č.</w:t>
      </w:r>
    </w:p>
    <w:p w:rsidR="00A22C70" w:rsidRPr="006A5AEF" w:rsidRDefault="00A22C70" w:rsidP="00A22C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AEF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Rekonštrukcia telocvične základnej školy</w:t>
      </w:r>
      <w:r w:rsidRPr="006A5AEF">
        <w:rPr>
          <w:rFonts w:ascii="Times New Roman" w:hAnsi="Times New Roman" w:cs="Times New Roman"/>
          <w:b/>
        </w:rPr>
        <w:t>“</w:t>
      </w:r>
    </w:p>
    <w:p w:rsidR="00A22C70" w:rsidRPr="006A5AEF" w:rsidRDefault="00A22C70" w:rsidP="00A22C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5AEF">
        <w:rPr>
          <w:rFonts w:ascii="Times New Roman" w:hAnsi="Times New Roman" w:cs="Times New Roman"/>
        </w:rPr>
        <w:t>uzatvorená podľa § 536 a následných ustanovení Občianskeho zákonníka</w:t>
      </w:r>
    </w:p>
    <w:p w:rsidR="00A22C70" w:rsidRDefault="00A22C70" w:rsidP="00A22C70">
      <w:pPr>
        <w:pStyle w:val="Bezmezer"/>
        <w:jc w:val="center"/>
        <w:rPr>
          <w:b/>
          <w:u w:val="single"/>
        </w:rPr>
      </w:pPr>
    </w:p>
    <w:p w:rsidR="00A22C70" w:rsidRDefault="00A22C70" w:rsidP="00A22C70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I. Zmluvné strany</w:t>
      </w:r>
    </w:p>
    <w:p w:rsidR="00A22C70" w:rsidRDefault="00A22C70" w:rsidP="00A22C70">
      <w:pPr>
        <w:pStyle w:val="Bezmezer"/>
        <w:jc w:val="center"/>
        <w:rPr>
          <w:b/>
          <w:u w:val="single"/>
        </w:rPr>
      </w:pPr>
    </w:p>
    <w:p w:rsidR="00A22C70" w:rsidRPr="006A5AEF" w:rsidRDefault="00A22C70" w:rsidP="00A22C70">
      <w:pPr>
        <w:spacing w:after="0"/>
        <w:jc w:val="center"/>
        <w:rPr>
          <w:rFonts w:ascii="Times New Roman" w:hAnsi="Times New Roman" w:cs="Times New Roman"/>
          <w:b/>
        </w:rPr>
      </w:pPr>
    </w:p>
    <w:p w:rsidR="00A22C70" w:rsidRDefault="00A22C70" w:rsidP="00A22C70">
      <w:pPr>
        <w:pStyle w:val="Bezmezer"/>
        <w:rPr>
          <w:b/>
        </w:rPr>
      </w:pPr>
      <w:r>
        <w:rPr>
          <w:b/>
        </w:rPr>
        <w:t>1.1. Objednávateľ</w:t>
      </w:r>
      <w:r>
        <w:t xml:space="preserve">                            :</w:t>
      </w:r>
      <w:r>
        <w:tab/>
        <w:t>Obec Hažlín</w:t>
      </w:r>
    </w:p>
    <w:p w:rsidR="00A22C70" w:rsidRDefault="00A22C70" w:rsidP="00A22C70">
      <w:pPr>
        <w:pStyle w:val="Bezmezer"/>
      </w:pPr>
      <w:r>
        <w:t>Sídlo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Hažlín 200, 086 14 Hažlín</w:t>
      </w:r>
    </w:p>
    <w:p w:rsidR="00A22C70" w:rsidRDefault="00A22C70" w:rsidP="00A22C70">
      <w:pPr>
        <w:pStyle w:val="Bezmezer"/>
      </w:pPr>
      <w:r>
        <w:t>Splnomocnený zástupca</w:t>
      </w:r>
      <w:r>
        <w:tab/>
      </w:r>
      <w:r>
        <w:tab/>
        <w:t>:</w:t>
      </w:r>
      <w:r>
        <w:tab/>
        <w:t xml:space="preserve">Ing. František </w:t>
      </w:r>
      <w:proofErr w:type="spellStart"/>
      <w:r>
        <w:t>Olah</w:t>
      </w:r>
      <w:proofErr w:type="spellEnd"/>
      <w:r>
        <w:t xml:space="preserve"> – starosta obce</w:t>
      </w:r>
    </w:p>
    <w:p w:rsidR="00A22C70" w:rsidRDefault="00A22C70" w:rsidP="00A22C70">
      <w:pPr>
        <w:pStyle w:val="Bezmezer"/>
      </w:pPr>
      <w:r>
        <w:t>IČO                                                    :           00322016</w:t>
      </w:r>
    </w:p>
    <w:p w:rsidR="00A22C70" w:rsidRDefault="00A22C70" w:rsidP="00A22C70">
      <w:pPr>
        <w:pStyle w:val="Bezmezer"/>
      </w:pPr>
      <w:r>
        <w:t>DIČ                                                    :           2020623055</w:t>
      </w:r>
    </w:p>
    <w:p w:rsidR="00A22C70" w:rsidRDefault="00A22C70" w:rsidP="00A22C70">
      <w:pPr>
        <w:pStyle w:val="Bezmezer"/>
      </w:pPr>
      <w:r>
        <w:t>Tel.: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054/476 73 03</w:t>
      </w:r>
    </w:p>
    <w:p w:rsidR="00A22C70" w:rsidRDefault="00A22C70" w:rsidP="00A22C70">
      <w:pPr>
        <w:pStyle w:val="Bezmezer"/>
      </w:pPr>
      <w:r>
        <w:t>Email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hyperlink r:id="rId5" w:history="1">
        <w:r w:rsidRPr="00C33B79">
          <w:rPr>
            <w:rStyle w:val="Hypertextovprepojenie"/>
          </w:rPr>
          <w:t>obechazlin@gmail.com</w:t>
        </w:r>
      </w:hyperlink>
    </w:p>
    <w:p w:rsidR="00A22C70" w:rsidRDefault="00A22C70" w:rsidP="00A22C70">
      <w:pPr>
        <w:pStyle w:val="Bezmezer"/>
        <w:rPr>
          <w:rStyle w:val="Hypertextovprepojenie"/>
        </w:rPr>
      </w:pPr>
      <w:r>
        <w:t>Webové sídlo</w:t>
      </w:r>
      <w:r>
        <w:tab/>
      </w:r>
      <w:r>
        <w:tab/>
      </w:r>
      <w:r>
        <w:tab/>
      </w:r>
      <w:r>
        <w:tab/>
        <w:t>:</w:t>
      </w:r>
      <w:r>
        <w:tab/>
      </w:r>
      <w:hyperlink r:id="rId6" w:history="1">
        <w:r>
          <w:rPr>
            <w:rStyle w:val="Hypertextovprepojenie"/>
          </w:rPr>
          <w:t>https://obechazlin.sk/</w:t>
        </w:r>
      </w:hyperlink>
    </w:p>
    <w:p w:rsidR="00A22C70" w:rsidRDefault="00A22C70" w:rsidP="00A22C70">
      <w:pPr>
        <w:pStyle w:val="Bezmezer"/>
        <w:rPr>
          <w:rStyle w:val="Hypertextovprepojenie"/>
        </w:rPr>
      </w:pPr>
    </w:p>
    <w:p w:rsidR="00A22C70" w:rsidRDefault="00A22C70" w:rsidP="00A22C70">
      <w:pPr>
        <w:pStyle w:val="Bezmezer"/>
        <w:rPr>
          <w:rStyle w:val="Hypertextovprepojenie"/>
        </w:rPr>
      </w:pPr>
    </w:p>
    <w:p w:rsidR="00A22C70" w:rsidRDefault="00A22C70" w:rsidP="00A22C70">
      <w:pPr>
        <w:pStyle w:val="Bezmezer"/>
      </w:pPr>
      <w:r>
        <w:rPr>
          <w:b/>
        </w:rPr>
        <w:t>1.2. Zhotoviteľ</w:t>
      </w:r>
      <w:r>
        <w:rPr>
          <w:b/>
        </w:rPr>
        <w:tab/>
      </w:r>
      <w:r>
        <w:tab/>
      </w:r>
      <w:r>
        <w:tab/>
        <w:t xml:space="preserve">:         </w:t>
      </w:r>
      <w:r>
        <w:tab/>
      </w:r>
      <w:r>
        <w:tab/>
      </w:r>
    </w:p>
    <w:p w:rsidR="00A22C70" w:rsidRDefault="00A22C70" w:rsidP="00A22C70">
      <w:pPr>
        <w:pStyle w:val="Bezmezer"/>
      </w:pPr>
      <w:r>
        <w:t>Splnomocnený zástupca</w:t>
      </w:r>
      <w:r>
        <w:tab/>
      </w:r>
      <w:r>
        <w:tab/>
        <w:t>:</w:t>
      </w:r>
      <w:r>
        <w:tab/>
      </w:r>
    </w:p>
    <w:p w:rsidR="00A22C70" w:rsidRDefault="00A22C70" w:rsidP="00A22C70">
      <w:pPr>
        <w:pStyle w:val="Bezmezer"/>
      </w:pPr>
      <w:r>
        <w:t>Oprávnený rokovať vo veciach</w:t>
      </w:r>
      <w:bookmarkStart w:id="0" w:name="_GoBack"/>
      <w:bookmarkEnd w:id="0"/>
    </w:p>
    <w:p w:rsidR="00A22C70" w:rsidRDefault="00A22C70" w:rsidP="00A22C70">
      <w:pPr>
        <w:pStyle w:val="Bezmezer"/>
      </w:pPr>
      <w:r>
        <w:t xml:space="preserve">- zmluvných </w:t>
      </w:r>
      <w:r>
        <w:tab/>
      </w:r>
      <w:r>
        <w:tab/>
      </w:r>
      <w:r>
        <w:tab/>
      </w:r>
      <w:r>
        <w:tab/>
        <w:t xml:space="preserve">:  </w:t>
      </w:r>
      <w:r>
        <w:tab/>
      </w:r>
    </w:p>
    <w:p w:rsidR="00A22C70" w:rsidRDefault="00A22C70" w:rsidP="00A22C70">
      <w:pPr>
        <w:pStyle w:val="Bezmezer"/>
      </w:pPr>
      <w:r>
        <w:t xml:space="preserve">- technických                </w:t>
      </w:r>
      <w:r>
        <w:tab/>
      </w:r>
      <w:r>
        <w:tab/>
        <w:t xml:space="preserve">:  </w:t>
      </w:r>
      <w:r>
        <w:tab/>
      </w:r>
    </w:p>
    <w:p w:rsidR="00A22C70" w:rsidRDefault="00A22C70" w:rsidP="00A22C70">
      <w:pPr>
        <w:pStyle w:val="Bezmezer"/>
      </w:pPr>
      <w:r>
        <w:t xml:space="preserve">IČO                                                    :           </w:t>
      </w:r>
    </w:p>
    <w:p w:rsidR="00A22C70" w:rsidRDefault="00A22C70" w:rsidP="00A22C70">
      <w:pPr>
        <w:pStyle w:val="Bezmezer"/>
      </w:pPr>
      <w:r>
        <w:t xml:space="preserve">DIČ                                                    :           </w:t>
      </w:r>
    </w:p>
    <w:p w:rsidR="00A22C70" w:rsidRDefault="00A22C70" w:rsidP="00A22C70">
      <w:pPr>
        <w:pStyle w:val="Bezmezer"/>
      </w:pPr>
      <w:r>
        <w:t>IČ DPH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A22C70" w:rsidRDefault="00A22C70" w:rsidP="00A22C70">
      <w:pPr>
        <w:pStyle w:val="Bezmezer"/>
      </w:pPr>
      <w:r>
        <w:t>Bankové spojenie</w:t>
      </w:r>
      <w:r>
        <w:tab/>
      </w:r>
      <w:r>
        <w:tab/>
      </w:r>
      <w:r>
        <w:tab/>
        <w:t xml:space="preserve">:           </w:t>
      </w:r>
    </w:p>
    <w:p w:rsidR="00A22C70" w:rsidRDefault="00A22C70" w:rsidP="00A22C70">
      <w:pPr>
        <w:pStyle w:val="Bezmezer"/>
      </w:pPr>
      <w:r>
        <w:t>Číslo účtu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</w:p>
    <w:p w:rsidR="00A22C70" w:rsidRDefault="00A22C70" w:rsidP="00A22C70">
      <w:pPr>
        <w:pStyle w:val="Bezmezer"/>
      </w:pPr>
      <w:r>
        <w:t>Zapísaný</w:t>
      </w:r>
      <w:r>
        <w:tab/>
      </w:r>
      <w:r>
        <w:tab/>
      </w:r>
      <w:r>
        <w:tab/>
      </w:r>
      <w:r>
        <w:tab/>
        <w:t xml:space="preserve">:           </w:t>
      </w:r>
    </w:p>
    <w:p w:rsidR="00A22C70" w:rsidRDefault="00A22C70"/>
    <w:p w:rsidR="00A22C70" w:rsidRDefault="00A22C70" w:rsidP="00A22C70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Zhotoviteľ berie na vedomie, že plnenia, ktoré poskytuje na základe tejto Zmluvy tvoria súčasť projektu: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„Rekonštrukcia telocvične základnej školy“, </w:t>
      </w:r>
      <w:r>
        <w:rPr>
          <w:rFonts w:ascii="Times New Roman" w:hAnsi="Times New Roman" w:cs="Times New Roman"/>
          <w:sz w:val="24"/>
          <w:szCs w:val="24"/>
        </w:rPr>
        <w:t xml:space="preserve">ktorému bola poskytnutá dotácia v Programe rozvoja športu na rok 2019 – Podprogram č. 3 – údržba ihrísk a štadiónov a inej športovej infraštruktúry (v súlade s § 2 ods. 2 písm. e) zákona č. 524/2010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poskytovaní dotácií v pôsobnosti Úradu vlády Slovenskej republiky v znení neskorších predpisov).</w:t>
      </w:r>
    </w:p>
    <w:p w:rsidR="00A22C70" w:rsidRDefault="00A22C70" w:rsidP="00A22C70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Podkladom na uzavretie tejto zmluvy o dielo na zhotovenie stavebných prác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„Rekonštrukcia telocvične základnej školy“ </w:t>
      </w:r>
      <w:r>
        <w:rPr>
          <w:rFonts w:ascii="Times New Roman" w:hAnsi="Times New Roman" w:cs="Times New Roman"/>
          <w:sz w:val="24"/>
          <w:szCs w:val="24"/>
        </w:rPr>
        <w:t xml:space="preserve">je prieskum trhu v súlade s § 117 zákona č. 343/2015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verejnom obstarávaní a o zmene a doplnení niektorých zákonov v platnom znení (ďalej len Zákon), </w:t>
      </w:r>
      <w:r w:rsidR="00606CAB">
        <w:rPr>
          <w:rFonts w:ascii="Times New Roman" w:hAnsi="Times New Roman" w:cs="Times New Roman"/>
          <w:sz w:val="24"/>
          <w:szCs w:val="24"/>
        </w:rPr>
        <w:t xml:space="preserve">ako zákazky s nízkou hodnotou. Výsledkom verejného obstarávania je ponuka Zhotoviteľa – rozpočet, ktorý je po vzájomnom odsúhlasení zmluvnými stranami považovanými za prílohu č. 1 tejto Zmluvy. </w:t>
      </w:r>
    </w:p>
    <w:p w:rsidR="00606CAB" w:rsidRDefault="00606CAB" w:rsidP="00A22C70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Miesto stavby: </w:t>
      </w:r>
      <w:r>
        <w:rPr>
          <w:rFonts w:ascii="Times New Roman" w:hAnsi="Times New Roman" w:cs="Times New Roman"/>
          <w:sz w:val="24"/>
          <w:szCs w:val="24"/>
        </w:rPr>
        <w:t xml:space="preserve">stavba so súpisným číslom 283, parcela č. KN 1175, v katastrálnom území obce Hažlín, </w:t>
      </w:r>
      <w:proofErr w:type="spellStart"/>
      <w:r>
        <w:rPr>
          <w:rFonts w:ascii="Times New Roman" w:hAnsi="Times New Roman" w:cs="Times New Roman"/>
          <w:sz w:val="24"/>
          <w:szCs w:val="24"/>
        </w:rPr>
        <w:t>okr</w:t>
      </w:r>
      <w:proofErr w:type="spellEnd"/>
      <w:r>
        <w:rPr>
          <w:rFonts w:ascii="Times New Roman" w:hAnsi="Times New Roman" w:cs="Times New Roman"/>
          <w:sz w:val="24"/>
          <w:szCs w:val="24"/>
        </w:rPr>
        <w:t>. Bardejov</w:t>
      </w:r>
    </w:p>
    <w:p w:rsidR="00606CAB" w:rsidRDefault="00606CAB" w:rsidP="00606CAB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Článok II. Predmet plnenia</w:t>
      </w:r>
    </w:p>
    <w:p w:rsidR="00606CAB" w:rsidRDefault="00606CAB" w:rsidP="00A676A8">
      <w:pPr>
        <w:spacing w:after="0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Zhotoviteľ sa zaväzuje zhotoviť vo vlastnom mene a na vlastnú zodpovednosť dielo </w:t>
      </w:r>
      <w:r>
        <w:rPr>
          <w:rFonts w:ascii="Times New Roman" w:hAnsi="Times New Roman" w:cs="Times New Roman"/>
          <w:b/>
          <w:bCs/>
          <w:sz w:val="24"/>
          <w:szCs w:val="24"/>
        </w:rPr>
        <w:t>„Rekonštrukcia telocvične základnej školy“</w:t>
      </w:r>
    </w:p>
    <w:p w:rsidR="00606CAB" w:rsidRDefault="00606CAB" w:rsidP="00A676A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podmienok </w:t>
      </w:r>
      <w:r w:rsidR="00A676A8">
        <w:rPr>
          <w:rFonts w:ascii="Times New Roman" w:hAnsi="Times New Roman" w:cs="Times New Roman"/>
          <w:sz w:val="24"/>
          <w:szCs w:val="24"/>
        </w:rPr>
        <w:t>dohodnutých v tejto Zmluve.</w:t>
      </w:r>
    </w:p>
    <w:p w:rsidR="00A676A8" w:rsidRDefault="00A676A8" w:rsidP="00A676A8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6A8" w:rsidRDefault="00A676A8" w:rsidP="00A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Objednávateľ sa zaväzuje:</w:t>
      </w:r>
    </w:p>
    <w:p w:rsidR="00A676A8" w:rsidRDefault="00A676A8" w:rsidP="00A676A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dielo zhotovené v súlade so Zmluvou, prevziať a zaplatiť dohodnutú cenu podľa platobných podmienok v článku IV. Zmluvy</w:t>
      </w:r>
    </w:p>
    <w:p w:rsidR="00A676A8" w:rsidRDefault="00A676A8" w:rsidP="00A676A8">
      <w:pPr>
        <w:spacing w:before="240"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Dielo pozostáva z prác uvedených v Zadaní, ktoré tvorí neoddeliteľnú prílohu č. 1 tejto Zmluvy</w:t>
      </w:r>
    </w:p>
    <w:p w:rsidR="00A676A8" w:rsidRDefault="00A676A8" w:rsidP="00A676A8">
      <w:pPr>
        <w:spacing w:before="240" w:after="0"/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III. Čas plnenia</w:t>
      </w:r>
    </w:p>
    <w:p w:rsidR="00A676A8" w:rsidRDefault="00A676A8" w:rsidP="00A676A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Zhotoviteľ sa zaväzuje dodať dielo uvedené v čl. II tejto Zmluvy v nasledovných termínoch:</w:t>
      </w:r>
    </w:p>
    <w:p w:rsidR="00A676A8" w:rsidRDefault="00A676A8" w:rsidP="00A676A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zahájenia realizácie: do 5 dní od výzvy objednávateľa na prevzatie staveniska</w:t>
      </w:r>
    </w:p>
    <w:p w:rsidR="00A676A8" w:rsidRDefault="00A676A8" w:rsidP="00A676A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dodania kompletného diela bude do 60 dní po prevzatí staveniska</w:t>
      </w:r>
    </w:p>
    <w:p w:rsidR="00A676A8" w:rsidRDefault="00A676A8" w:rsidP="00A676A8">
      <w:pPr>
        <w:spacing w:before="240"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Objednávateľ je oprávnený kedykoľvek nariadiť zhotoviteľovi prerušenie realizácie diela. V prípade takéhoto prerušenia z dôvodu na strane objednávateľa, má zhotoviteľ právo na predĺženie termínu pre dokončenie diela stanoveného v čl. III odstavec 1b</w:t>
      </w:r>
      <w:r w:rsidR="0007438D">
        <w:rPr>
          <w:rFonts w:ascii="Times New Roman" w:hAnsi="Times New Roman" w:cs="Times New Roman"/>
          <w:sz w:val="24"/>
          <w:szCs w:val="24"/>
        </w:rPr>
        <w:t xml:space="preserve"> tejto Zmluvy, a to o dobu odpovedajúcu pozastaveniu realizácie diela alebo jeho časti. Zhotoviteľ je taktiež v takomto prípade povinný prepracovať v tomto zmysle harmonogram postupu prác a takto upravený odovzdať bezodkladne Objednávateľovi k odsúhlaseniu.</w:t>
      </w:r>
    </w:p>
    <w:p w:rsidR="00D743C2" w:rsidRDefault="00D743C2" w:rsidP="00D743C2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IV. Cena diela</w:t>
      </w:r>
    </w:p>
    <w:p w:rsidR="00D743C2" w:rsidRDefault="00D743C2" w:rsidP="00D743C2">
      <w:pPr>
        <w:spacing w:before="24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Cena za zhotovenie predmetu Zmluvy v rozsahu podľa čl. II Zmluvy je stanovená dohodou zmluvných strán v súlade s ustanoveniami zákona č. 18/1996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cenách v platnom znení a je to cena maximálna, ktorú nie je možné prekročiť.</w:t>
      </w:r>
    </w:p>
    <w:p w:rsidR="00D743C2" w:rsidRDefault="00D743C2" w:rsidP="00D743C2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Cena za zhotovenie diela podľa čl. II je:</w:t>
      </w:r>
    </w:p>
    <w:p w:rsidR="00D743C2" w:rsidRDefault="00D743C2" w:rsidP="00D743C2">
      <w:pPr>
        <w:spacing w:after="0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Cena spolu</w:t>
      </w:r>
    </w:p>
    <w:p w:rsidR="00D743C2" w:rsidRDefault="00D743C2" w:rsidP="00D743C2">
      <w:pPr>
        <w:spacing w:after="0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 ceny pre DPH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EUR</w:t>
      </w:r>
    </w:p>
    <w:p w:rsidR="00D743C2" w:rsidRDefault="00D743C2" w:rsidP="00D743C2">
      <w:pPr>
        <w:spacing w:after="0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DPH 20%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EUR</w:t>
      </w:r>
    </w:p>
    <w:p w:rsidR="00D743C2" w:rsidRDefault="00D743C2" w:rsidP="00D743C2">
      <w:pPr>
        <w:spacing w:after="0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Celková cena spolu s DPH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EUR</w:t>
      </w:r>
    </w:p>
    <w:p w:rsidR="00D743C2" w:rsidRDefault="00D743C2" w:rsidP="00D743C2">
      <w:pPr>
        <w:spacing w:after="0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C2" w:rsidRDefault="00D743C2" w:rsidP="00D743C2">
      <w:pPr>
        <w:spacing w:after="0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Slovom:</w:t>
      </w:r>
    </w:p>
    <w:p w:rsidR="00D743C2" w:rsidRDefault="00D743C2" w:rsidP="00D743C2">
      <w:pPr>
        <w:spacing w:after="0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96A" w:rsidRDefault="00E4396A" w:rsidP="00E43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Cena pokrýva všetky zmluvné záväzky.</w:t>
      </w:r>
    </w:p>
    <w:p w:rsidR="00E4396A" w:rsidRDefault="00E4396A" w:rsidP="00E4396A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Práce, ktoré zhotoviteľ nevykoná, vykoná bez príkazu Objednávateľa alebo odchylne od dojednaných zmluvných podmienok, Objednávateľ neuhradí.</w:t>
      </w:r>
    </w:p>
    <w:p w:rsidR="00E4396A" w:rsidRDefault="00E4396A" w:rsidP="00E4396A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Článok V. Platobné podmienky, fakturácia</w:t>
      </w:r>
    </w:p>
    <w:p w:rsidR="00E4396A" w:rsidRDefault="00F464A5" w:rsidP="00E4396A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Cenu za zhotovenie diela zaplatí Objednávateľ Zhotoviteľovi na základe faktúry, ktorú Zhotoviteľ vystaví po vykonaní a odošle Objednávateľovi po splnení týchto podmienok:</w:t>
      </w:r>
    </w:p>
    <w:p w:rsidR="00F464A5" w:rsidRDefault="00F464A5" w:rsidP="00E4396A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Práce budú fakturované na základe súpisov vykonaných prác, v ktorých bude uvedené množstvo merných jednotiek a ich ocenenie v súlade s objektovou skladbou projektu stavby a ponukového rozpočtu.</w:t>
      </w:r>
    </w:p>
    <w:p w:rsidR="00F464A5" w:rsidRDefault="00F464A5" w:rsidP="00E4396A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5.1.2.</w:t>
      </w:r>
      <w:r>
        <w:rPr>
          <w:rFonts w:ascii="Times New Roman" w:hAnsi="Times New Roman" w:cs="Times New Roman"/>
          <w:sz w:val="24"/>
          <w:szCs w:val="24"/>
        </w:rPr>
        <w:tab/>
        <w:t>Splatnosť faktúr je 30 dní. Faktúra sa považuje za uhradenú dňom odpísania prostriedkov z účtu Objednávateľa.</w:t>
      </w:r>
    </w:p>
    <w:p w:rsidR="00F464A5" w:rsidRDefault="00F26818" w:rsidP="00F2681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Faktúru zhotoví Zhotoviteľ v súlade s platnou legislatívou – zákon č. 222/2004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dani z pridanej hodnoty v platnom znení a predloží Objednávateľovi v 3 originálnych výtlačkoch. Faktúra bude obsahovať minimálne tieto údaje:</w:t>
      </w:r>
    </w:p>
    <w:p w:rsidR="00F26818" w:rsidRDefault="00F26818" w:rsidP="00F2681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faktúry resp. daňového dokladu</w:t>
      </w:r>
    </w:p>
    <w:p w:rsidR="00F26818" w:rsidRDefault="00F26818" w:rsidP="00F2681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označenie Objednávateľa a Zhotoviteľa, peňažný ústav, číslo účtu</w:t>
      </w:r>
    </w:p>
    <w:p w:rsidR="00F26818" w:rsidRDefault="00F26818" w:rsidP="00F2681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a DIČ zhotoviteľa, IČO a DIČ Objednávateľa</w:t>
      </w:r>
    </w:p>
    <w:p w:rsidR="00F26818" w:rsidRDefault="00F26818" w:rsidP="00F2681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názov diela</w:t>
      </w:r>
    </w:p>
    <w:p w:rsidR="00F26818" w:rsidRDefault="00F26818" w:rsidP="00F2681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zdaniteľné obdobie</w:t>
      </w:r>
    </w:p>
    <w:p w:rsidR="00F26818" w:rsidRDefault="00F26818" w:rsidP="00F2681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deň vystavenia a deň splatnosti faktúry</w:t>
      </w:r>
    </w:p>
    <w:p w:rsidR="00F26818" w:rsidRDefault="00F26818" w:rsidP="00F2681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fakturovanú základnú čiastku bez DPH, čiastku DPH a celkovú fakturovanú sumu</w:t>
      </w:r>
    </w:p>
    <w:p w:rsidR="00F26818" w:rsidRDefault="00F26818" w:rsidP="00F2681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pečiatku a podpis oprávneného zástupcu zhotoviteľa</w:t>
      </w:r>
    </w:p>
    <w:p w:rsidR="00F26818" w:rsidRDefault="00F26818" w:rsidP="00F2681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prílohou faktúry bude – súpis vykonaných prác.</w:t>
      </w:r>
    </w:p>
    <w:p w:rsidR="00F26818" w:rsidRDefault="00F26818" w:rsidP="00F26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818" w:rsidRDefault="00F26818" w:rsidP="00F2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Uhradená faktúra nie je dokladom o odovzdaní a prevzatí diela.</w:t>
      </w:r>
    </w:p>
    <w:p w:rsidR="00F26818" w:rsidRDefault="00F26818" w:rsidP="00F2681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Konečnú faktúru za vykonané dielo predloží zhotoviteľ najskôr ku dňu jeho odovzdania a prevzatia. Jej prijatie Objednávateľom vylučuje dodatočné nároky Zhotoviteľa na úpravu ceny diela.</w:t>
      </w:r>
    </w:p>
    <w:p w:rsidR="00F26818" w:rsidRDefault="00F26818" w:rsidP="00F26818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VI. Záručná doba, zodpovednosť za vady</w:t>
      </w:r>
    </w:p>
    <w:p w:rsidR="00F26818" w:rsidRDefault="00F26818" w:rsidP="00F2681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  <w:t>Zhotoviteľ zodpovedá za to, že predmet tejto Zmluvy je zhotovený podľa schváleného projektu stavby, STN, vzťahujúcimi sa na predmet plnenia, dohodnutých zmluvných podmienok, a že počas záručnej doby bude mať vlastnosti, dohodnuté v tejto Zmluve.</w:t>
      </w:r>
    </w:p>
    <w:p w:rsidR="00F26818" w:rsidRDefault="00F26818" w:rsidP="00F2681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Záručná doba je 3 roky. Začína plynúť odo dňa protokolárneho prevzatia diela Objednávateľom. Za vady diela, na ktoré sa vzťahuje záruka, zodpovedá Zhotoviteľ v rozsahu tejto záruky.</w:t>
      </w:r>
    </w:p>
    <w:p w:rsidR="00F26818" w:rsidRDefault="00F26818" w:rsidP="00F26818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VII. Vykonanie diela</w:t>
      </w:r>
    </w:p>
    <w:p w:rsidR="00F26818" w:rsidRDefault="0051146E" w:rsidP="00F2681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Zhotoviteľ vykonáva činnosti, spojené s predmetom diela na vlastnú zodpovednosť podľa Zmluvy, pričom rešpektuje technické špecifikácie a právne predpisy.</w:t>
      </w:r>
    </w:p>
    <w:p w:rsidR="0051146E" w:rsidRDefault="0051146E" w:rsidP="00F2681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Objednávateľ je oprávnený vykonávať stavebný dozor nad realizáciou diela a dodržiavaním zmluvných podmienok.</w:t>
      </w:r>
    </w:p>
    <w:p w:rsidR="0051146E" w:rsidRDefault="0051146E" w:rsidP="0051146E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VIII. Stavebný denník</w:t>
      </w:r>
    </w:p>
    <w:p w:rsidR="0051146E" w:rsidRDefault="0051146E" w:rsidP="0051146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Zhotoviteľ je povinný viesť na stavbe stavebný denník v súlade so Stavebným zákonom a vyhláškou MŽP SR č. 453/2000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., ktorou sa vykonávajú niektoré ustanovenia stavebného zákona, odo dňa začatia prác až do odstránenia poslednej vady resp. nedorobku, zisteného pri preberaní stavby. Stavebný denník sa musí nachádzať na stavbe a musí byť trvalé prístupný. Zápisy do neho robí Zhotoviteľ v deň, kedy boli práce vykonané alebo nastali okolnosti, ktoré je potrebné riešiť.</w:t>
      </w:r>
    </w:p>
    <w:p w:rsidR="0051146E" w:rsidRDefault="0051146E" w:rsidP="0051146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Okrem zástupcov Zhotoviteľa, Objednávateľa a projektanta môžu do stavebného denníka vykonávať záznamy poverení zástupcovia príslušných orgánov štátnej správy.</w:t>
      </w:r>
    </w:p>
    <w:p w:rsidR="0051146E" w:rsidRDefault="0051146E" w:rsidP="0051146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Zápisy v stavebnom denníku sa nepovažujú za zmenu Zmluvy, ale slúžia ako podklad pre vyhotovenie dodatkov ku Zmluve.</w:t>
      </w:r>
    </w:p>
    <w:p w:rsidR="0051146E" w:rsidRDefault="0051146E" w:rsidP="0051146E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IX. Ostatné ustanovenia</w:t>
      </w:r>
    </w:p>
    <w:p w:rsidR="0051146E" w:rsidRDefault="0051146E" w:rsidP="0051146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Zmluvné strany sa zaväzujú, že obchodné a technické informácie, ktoré im boli zverené zmluvným partnerom, nepoužijú na iné účely ako pre plnenie podmienok tejto Zmluvy.</w:t>
      </w:r>
    </w:p>
    <w:p w:rsidR="0051146E" w:rsidRDefault="0051146E" w:rsidP="0051146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Zhotoviteľ bude pri plnení predmetu tejto Zmluvy postupovať s odbornou starostlivosťou. Zaväzuje sa dodržiavať </w:t>
      </w:r>
      <w:r w:rsidR="008B4C78">
        <w:rPr>
          <w:rFonts w:ascii="Times New Roman" w:hAnsi="Times New Roman" w:cs="Times New Roman"/>
          <w:sz w:val="24"/>
          <w:szCs w:val="24"/>
        </w:rPr>
        <w:t>všeobecne platné predpisy, technické normy a predmety tejto Zmluvy. Zhotoviteľ sa bude riadiť východiskovými podkladmi Objednávateľa, pokynmi Objednávateľa, zápismi a dohodami oprávnených pracovníkov zmluvných strán.</w:t>
      </w:r>
    </w:p>
    <w:p w:rsidR="008B4C78" w:rsidRDefault="008B4C78" w:rsidP="0051146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Zhotoviteľ je povinný strpieť výkon kontroly/auditu/overenia súvisiaceho s dodávanými prácami kedykoľvek počas platnosti a účinnosti Zmluvy o pridelení dotácie v Programe rozvoja športu na rok 2019 – Podprogram č.3 – údržba ihrísk a štadiónov a inej športovej infraštruktúry (v súlade s § 2 ods. 2 písm. e) zákona č. 524/2010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poskytovaní dotácií v pôsobnosti Úradu vlády Slovenskej republiky v znení neskorších predpisov).</w:t>
      </w:r>
    </w:p>
    <w:p w:rsidR="008B4C78" w:rsidRDefault="008B4C78" w:rsidP="008B4C78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X. Záverečné ustanovenia</w:t>
      </w:r>
    </w:p>
    <w:p w:rsidR="008B4C78" w:rsidRDefault="008B4C78" w:rsidP="008B4C7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Táto Zmluva je uzavretá jej podpisom oboma zmluvnými stranami, stáva sa platnou dňom podpisu oboma zmluvnými stranami a účinnou v deň nasledujúci po dni zverejnenia na webovej stránke objednávateľa.</w:t>
      </w:r>
    </w:p>
    <w:p w:rsidR="008B4C78" w:rsidRDefault="008B4C78" w:rsidP="008B4C7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Zmluva môže byť zmenená len písomnými dodatkami, podpísanými oprávnenými zástupcami zmluvných strán. Zmeny a doplnky obsahu Zmluvy možno uskutočniť len písomne po predchádzajúcej dohode obidvoch zmluvných strán a pri dodržaní postupov pri uzatváraní dodatkov podľa § 10a zákona o verejnom obstarávaní, inak je zmena či doplnenie Zmluvy neplatné.</w:t>
      </w:r>
    </w:p>
    <w:p w:rsidR="008B4C78" w:rsidRDefault="008B4C78" w:rsidP="008B4C7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10.3.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Pokiaľ v Zmluve nie je dohodnuté niečo iné, platia pre zmluvný vzťah ňou založený ustanovenia Obchodného zákonníka.</w:t>
      </w:r>
    </w:p>
    <w:p w:rsidR="008B4C78" w:rsidRDefault="008B4C78" w:rsidP="008B4C7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Neoddeliteľnou súčasťou Zmluvy je ocenený rozpočet podľa cenovej ponuky (ako príloha č. 1 k </w:t>
      </w:r>
      <w:proofErr w:type="spellStart"/>
      <w:r>
        <w:rPr>
          <w:rFonts w:ascii="Times New Roman" w:hAnsi="Times New Roman" w:cs="Times New Roman"/>
          <w:sz w:val="24"/>
          <w:szCs w:val="24"/>
        </w:rPr>
        <w:t>ZoD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B4C78" w:rsidRDefault="008B4C78" w:rsidP="008B4C7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Zhotovitelia si Zmluvu prečítali, porozumeli a na znak súhlasu s jej obsahom dobrovoľne vlastnoručne podpísali.</w:t>
      </w:r>
    </w:p>
    <w:p w:rsidR="008B4C78" w:rsidRDefault="008B4C78" w:rsidP="008B4C7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10.6.</w:t>
      </w:r>
      <w:r>
        <w:rPr>
          <w:rFonts w:ascii="Times New Roman" w:hAnsi="Times New Roman" w:cs="Times New Roman"/>
          <w:sz w:val="24"/>
          <w:szCs w:val="24"/>
        </w:rPr>
        <w:tab/>
        <w:t xml:space="preserve">Zmluvné strany prehlasujú, že sú spôsobilé k právnym úkonom a ich </w:t>
      </w:r>
      <w:r w:rsidR="00C77871">
        <w:rPr>
          <w:rFonts w:ascii="Times New Roman" w:hAnsi="Times New Roman" w:cs="Times New Roman"/>
          <w:sz w:val="24"/>
          <w:szCs w:val="24"/>
        </w:rPr>
        <w:t>zmluvná voľnosť nie je ničím obmedzená.</w:t>
      </w:r>
    </w:p>
    <w:p w:rsidR="00C77871" w:rsidRDefault="00C77871" w:rsidP="008B4C7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Zmluva je vyhotovená v troch exemplároch, z ktorých dva sú určené pre Objednávateľa a jeden pre Zhotoviteľa.</w:t>
      </w:r>
    </w:p>
    <w:p w:rsidR="00C77871" w:rsidRDefault="00C77871" w:rsidP="008B4C7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C77871" w:rsidRDefault="00C77871" w:rsidP="008B4C7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C77871" w:rsidRDefault="00C77871" w:rsidP="008B4C7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C77871" w:rsidRDefault="00C77871" w:rsidP="008B4C7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Hažlíne, dňa 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................................, dňa ........................</w:t>
      </w:r>
    </w:p>
    <w:p w:rsidR="00C77871" w:rsidRDefault="00C77871" w:rsidP="008B4C7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C77871" w:rsidRDefault="00C77871" w:rsidP="00C7787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Objednávateľ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Zhotoviteľ</w:t>
      </w:r>
    </w:p>
    <w:p w:rsidR="00C77871" w:rsidRDefault="00C77871" w:rsidP="00C77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871" w:rsidRDefault="00C77871" w:rsidP="00C77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871" w:rsidRDefault="00C77871" w:rsidP="00C77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871" w:rsidRDefault="00C77871" w:rsidP="00C77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871" w:rsidRDefault="00C77871" w:rsidP="00C77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</w:t>
      </w:r>
    </w:p>
    <w:p w:rsidR="00C77871" w:rsidRDefault="00C77871" w:rsidP="00C7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Ing. 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Konateľ spoločnosti</w:t>
      </w:r>
    </w:p>
    <w:p w:rsidR="00C77871" w:rsidRPr="00C77871" w:rsidRDefault="00C77871" w:rsidP="00C7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Starosta obce Hažlín</w:t>
      </w:r>
    </w:p>
    <w:sectPr w:rsidR="00C77871" w:rsidRPr="00C7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E70A7"/>
    <w:multiLevelType w:val="hybridMultilevel"/>
    <w:tmpl w:val="31062B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4510"/>
    <w:multiLevelType w:val="hybridMultilevel"/>
    <w:tmpl w:val="6E228E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0103"/>
    <w:multiLevelType w:val="hybridMultilevel"/>
    <w:tmpl w:val="61F8DC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820CA"/>
    <w:multiLevelType w:val="hybridMultilevel"/>
    <w:tmpl w:val="4F60A39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70"/>
    <w:rsid w:val="0007438D"/>
    <w:rsid w:val="0051146E"/>
    <w:rsid w:val="00606CAB"/>
    <w:rsid w:val="008B4C78"/>
    <w:rsid w:val="00901474"/>
    <w:rsid w:val="00A22C70"/>
    <w:rsid w:val="00A676A8"/>
    <w:rsid w:val="00C77871"/>
    <w:rsid w:val="00D743C2"/>
    <w:rsid w:val="00E4396A"/>
    <w:rsid w:val="00F26818"/>
    <w:rsid w:val="00F4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C7FF"/>
  <w15:chartTrackingRefBased/>
  <w15:docId w15:val="{C004D278-1744-4074-9905-736D94D6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A22C7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22C70"/>
    <w:rPr>
      <w:color w:val="0563C1" w:themeColor="hyperlink"/>
      <w:u w:val="single"/>
    </w:rPr>
  </w:style>
  <w:style w:type="paragraph" w:customStyle="1" w:styleId="Bezmezer">
    <w:name w:val="Bez mezer"/>
    <w:rsid w:val="00A22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2C7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echazlin.sk/" TargetMode="External"/><Relationship Id="rId5" Type="http://schemas.openxmlformats.org/officeDocument/2006/relationships/hyperlink" Target="mailto:obechazl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fors, spol. s r.o.</dc:creator>
  <cp:keywords/>
  <dc:description/>
  <cp:lastModifiedBy>AN fors, spol. s r.o.</cp:lastModifiedBy>
  <cp:revision>7</cp:revision>
  <dcterms:created xsi:type="dcterms:W3CDTF">2019-09-26T06:02:00Z</dcterms:created>
  <dcterms:modified xsi:type="dcterms:W3CDTF">2019-09-30T05:59:00Z</dcterms:modified>
</cp:coreProperties>
</file>